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पावर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फाइनेंस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कॉर्पोरेशन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लिमिटेड</w:t>
      </w:r>
      <w:proofErr w:type="spellEnd"/>
    </w:p>
    <w:tbl>
      <w:tblPr>
        <w:tblStyle w:val="TableGrid"/>
        <w:tblW w:w="9648" w:type="dxa"/>
        <w:tblInd w:w="0" w:type="dxa"/>
        <w:tblLook w:val="04A0"/>
      </w:tblPr>
      <w:tblGrid>
        <w:gridCol w:w="606"/>
        <w:gridCol w:w="6169"/>
        <w:gridCol w:w="2873"/>
      </w:tblGrid>
      <w:tr w:rsidR="003D2ED2" w:rsidTr="005A75CB">
        <w:tc>
          <w:tcPr>
            <w:tcW w:w="96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लघु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अवधि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ऋण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हेतु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आवेदन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प्रारूप</w:t>
            </w:r>
            <w:proofErr w:type="spellEnd"/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आवेदक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नाम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व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संपर्क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व्यक्ति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नाम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दूरभाष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फैक्स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नंबर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, ई-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मेल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साथ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)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लघु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अवधि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ऋण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आवेदित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राशि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3.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राशि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सहित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लघु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अवधि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ऋण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आवश्यकता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उद्देश्य</w:t>
            </w:r>
            <w:proofErr w:type="spellEnd"/>
          </w:p>
          <w:p w:rsidR="003D2ED2" w:rsidRDefault="003D2ED2" w:rsidP="00532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विद्युत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प्लांट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हेतु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ईंधन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खरीद</w:t>
            </w:r>
            <w:proofErr w:type="spellEnd"/>
          </w:p>
          <w:p w:rsidR="003D2ED2" w:rsidRDefault="003D2ED2" w:rsidP="00532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उपभोज्य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वस्तुएं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आवश्यक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पुरजे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खरीद</w:t>
            </w:r>
            <w:proofErr w:type="spellEnd"/>
          </w:p>
          <w:p w:rsidR="003D2ED2" w:rsidRDefault="003D2ED2" w:rsidP="00532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एंड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एम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स्वरूप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प्लांट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उत्पन्न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करने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और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टी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डी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नेटवर्क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हेतु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आपातकालीन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प्रोक्योरमेंट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कार्य</w:t>
            </w:r>
            <w:proofErr w:type="spellEnd"/>
          </w:p>
          <w:p w:rsidR="003D2ED2" w:rsidRDefault="003D2ED2" w:rsidP="00532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विद्युत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खरीद</w:t>
            </w:r>
            <w:proofErr w:type="spellEnd"/>
          </w:p>
          <w:p w:rsidR="003D2ED2" w:rsidRDefault="003D2ED2" w:rsidP="00532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प्राप्य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राशि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हेतु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एफआई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)/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बैंकों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उपलब्ध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लाइन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ऑफ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क्रेडिट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प्राप्त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निधियां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अनुलग्नक-1</w:t>
            </w:r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5.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प्रस्तावित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एसटीएल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हेतु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प्रदत्त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प्रतिभूतियां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:</w:t>
            </w:r>
          </w:p>
          <w:p w:rsidR="003D2ED2" w:rsidRDefault="003D2ED2" w:rsidP="005321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एस्क्रो</w:t>
            </w:r>
            <w:proofErr w:type="spellEnd"/>
          </w:p>
          <w:p w:rsidR="003D2ED2" w:rsidRDefault="003D2ED2" w:rsidP="005321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सरकारी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गारंटी</w:t>
            </w:r>
            <w:proofErr w:type="spellEnd"/>
          </w:p>
          <w:p w:rsidR="003D2ED2" w:rsidRDefault="003D2ED2" w:rsidP="005321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परिसंपत्तियों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चार्ज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5A75CB">
        <w:trPr>
          <w:trHeight w:val="1565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6.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क्या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पीएफसी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चार्ज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प्रदत्त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परिसंपत्तियां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अन्य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ऋणदाता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भी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गई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हैं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लागू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जहां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परिसंपत्तियां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जार्च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प्रदान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जाती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हैं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)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7.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क्या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आवेदक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बैंक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अन्य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एफ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प्रति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चालू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डिफॉल्ट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हैं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।</w:t>
            </w:r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8.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क्या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इस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योजना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अंतर्गत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वित्त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पोषित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होने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वाले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मद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पहले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lastRenderedPageBreak/>
              <w:t>से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अन्य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एफआई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)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और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बैंकों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द्वारा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अन्य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योजना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अंतर्गत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वित्तपोषित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गए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हैं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?</w:t>
            </w:r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क्या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अधिगृहित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सामग्री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उपकरण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मशीन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पुरानी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सेकेंड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हैंड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?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10.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ब्याज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दर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विकल्प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(90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दिन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रीसेट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मियादी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)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अवधि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- 1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अधिक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अवधि</w:t>
            </w:r>
            <w:proofErr w:type="spellEnd"/>
          </w:p>
          <w:p w:rsidR="003D2ED2" w:rsidRDefault="003D2ED2" w:rsidP="00532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ईएमआई</w:t>
            </w:r>
            <w:proofErr w:type="spellEnd"/>
          </w:p>
          <w:p w:rsidR="003D2ED2" w:rsidRDefault="003D2ED2" w:rsidP="00532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बुलेट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5A75C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12.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735F91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डिस्क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ॉ</w:t>
            </w:r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</w:t>
            </w:r>
            <w:proofErr w:type="spellEnd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स्थिति</w:t>
            </w:r>
            <w:proofErr w:type="spellEnd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में</w:t>
            </w:r>
            <w:proofErr w:type="spellEnd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</w:t>
            </w:r>
            <w:proofErr w:type="spellStart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निम्न</w:t>
            </w:r>
            <w:proofErr w:type="spellEnd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स्थिति</w:t>
            </w:r>
            <w:proofErr w:type="spellEnd"/>
            <w:r w:rsidR="003D2ED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:</w:t>
            </w:r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पिछले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टैरिफ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याचिका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आदेश</w:t>
            </w:r>
            <w:proofErr w:type="spellEnd"/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पिछले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पूर्ण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4D6A9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आउटस्टेंड</w:t>
            </w:r>
            <w:r w:rsidR="004D6A9B">
              <w:rPr>
                <w:rFonts w:ascii="Arial Unicode MS" w:eastAsia="Arial Unicode MS" w:hAnsi="Arial Unicode MS" w:cs="Arial Unicode MS"/>
                <w:sz w:val="28"/>
                <w:szCs w:val="28"/>
              </w:rPr>
              <w:t>िंग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अनुदान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भुगतान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यदि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कोई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इसके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अतिरिक्त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वर्तमान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बज़टेड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अनुदान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50%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वर्तमान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एच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अंत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लिया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जाएगा</w:t>
            </w:r>
            <w:proofErr w:type="spellEnd"/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उपयुक्त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वित्तीय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समाप्ति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महीनों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लेखा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परीक्षित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लेखों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02053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शुं</w:t>
            </w:r>
            <w:r w:rsidR="0002053E">
              <w:rPr>
                <w:rFonts w:ascii="Arial Unicode MS" w:eastAsia="Arial Unicode MS" w:hAnsi="Arial Unicode MS" w:cs="Arial Unicode MS"/>
                <w:sz w:val="28"/>
                <w:szCs w:val="28"/>
              </w:rPr>
              <w:t>ग</w:t>
            </w:r>
            <w:r w:rsidR="0002053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</w:t>
            </w:r>
            <w:r w:rsidR="0002053E">
              <w:rPr>
                <w:rFonts w:ascii="Arial Unicode MS" w:eastAsia="Arial Unicode MS" w:hAnsi="Arial Unicode MS" w:cs="Arial Unicode MS"/>
                <w:sz w:val="28"/>
                <w:szCs w:val="28"/>
              </w:rPr>
              <w:t>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समिति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द्वारा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निश्चित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वित्तीय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विवरण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जमा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करना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।</w:t>
            </w:r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अगले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टैरिफ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याचिका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चालू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नवंबर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दर्ज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करना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।</w:t>
            </w:r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अतिरिक्त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शर्तों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अनुपालन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स्थिति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आवेदन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तारीख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अनुसार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अनुलग्नक-2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संदर्भ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लें</w:t>
            </w:r>
            <w:proofErr w:type="spellEnd"/>
          </w:p>
        </w:tc>
      </w:tr>
    </w:tbl>
    <w:p w:rsidR="005A75CB" w:rsidRDefault="003D2ED2" w:rsidP="003D2ED2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मैं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एतद्द्वारा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घोषित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करता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हूँ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कि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उपर्युक्त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दी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गई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सूचना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मेरे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ज्ञान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और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विश्वास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में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सत्य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और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सही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है।</w:t>
      </w:r>
      <w:proofErr w:type="spellEnd"/>
    </w:p>
    <w:p w:rsidR="005A75CB" w:rsidRDefault="003D2ED2" w:rsidP="005A75C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स्थानः</w:t>
      </w:r>
      <w:proofErr w:type="spellEnd"/>
    </w:p>
    <w:p w:rsidR="003D2ED2" w:rsidRPr="005D00DE" w:rsidRDefault="003D2ED2" w:rsidP="005D00DE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दिनांकः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हस्ताक्षर</w:t>
      </w:r>
      <w:proofErr w:type="spellEnd"/>
    </w:p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lastRenderedPageBreak/>
        <w:t>पावर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फाइनेंस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कॉर्पोरेशन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लिमिटेड</w:t>
      </w:r>
      <w:proofErr w:type="spellEnd"/>
    </w:p>
    <w:p w:rsidR="003D2ED2" w:rsidRDefault="003D2ED2" w:rsidP="003D2ED2">
      <w:pPr>
        <w:spacing w:line="240" w:lineRule="auto"/>
        <w:jc w:val="both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बैंक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/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एफआई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(</w:t>
      </w:r>
      <w:proofErr w:type="spellStart"/>
      <w:proofErr w:type="gram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यों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)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से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उपलब्ध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वर्किंग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पूंजी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और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लघु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अवधि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ऋण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का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विवरण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. . . . . 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से</w:t>
      </w:r>
      <w:proofErr w:type="spellEnd"/>
    </w:p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                                                                 (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करोड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़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रू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में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</w:p>
    <w:tbl>
      <w:tblPr>
        <w:tblStyle w:val="TableGrid"/>
        <w:tblW w:w="0" w:type="auto"/>
        <w:tblInd w:w="0" w:type="dxa"/>
        <w:tblLook w:val="04A0"/>
      </w:tblPr>
      <w:tblGrid>
        <w:gridCol w:w="1073"/>
        <w:gridCol w:w="1863"/>
        <w:gridCol w:w="1073"/>
        <w:gridCol w:w="1147"/>
        <w:gridCol w:w="1073"/>
        <w:gridCol w:w="1073"/>
        <w:gridCol w:w="1074"/>
        <w:gridCol w:w="1074"/>
      </w:tblGrid>
      <w:tr w:rsidR="003D2ED2" w:rsidTr="003D2ED2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क्र.सं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बैंक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एफआई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स्वीकृत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राशि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अब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तक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संवितरण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शेष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ओ/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एस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ब्याज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दर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प्रतिशत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प्रदत्त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ओवर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ड्यूज</w:t>
            </w:r>
            <w:proofErr w:type="spellEnd"/>
          </w:p>
        </w:tc>
      </w:tr>
      <w:tr w:rsidR="003D2ED2" w:rsidTr="003D2ED2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3D2ED2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3D2ED2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कुल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</w:p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</w:p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</w:p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</w:p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आवेदक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द्वारा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प्राप्त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अवधि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ऋण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का</w:t>
      </w:r>
      <w:proofErr w:type="spellEnd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वितरण</w:t>
      </w:r>
      <w:proofErr w:type="spellEnd"/>
    </w:p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करोड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़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रू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sz w:val="28"/>
          <w:szCs w:val="28"/>
        </w:rPr>
        <w:t>में</w:t>
      </w:r>
      <w:proofErr w:type="spellEnd"/>
      <w:r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</w:p>
    <w:tbl>
      <w:tblPr>
        <w:tblStyle w:val="TableGrid"/>
        <w:tblW w:w="0" w:type="auto"/>
        <w:tblInd w:w="0" w:type="dxa"/>
        <w:tblLook w:val="04A0"/>
      </w:tblPr>
      <w:tblGrid>
        <w:gridCol w:w="1073"/>
        <w:gridCol w:w="1863"/>
        <w:gridCol w:w="1073"/>
        <w:gridCol w:w="1147"/>
        <w:gridCol w:w="1073"/>
        <w:gridCol w:w="1073"/>
        <w:gridCol w:w="1074"/>
        <w:gridCol w:w="1074"/>
      </w:tblGrid>
      <w:tr w:rsidR="003D2ED2" w:rsidTr="003D2ED2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क्र.सं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बैंक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एफआई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स्वीकृत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राशि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अब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तक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संवितरण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शेष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ओ/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एस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ब्याज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दर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प्रतिशत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प्रदत्त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ओवर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ड्यूज</w:t>
            </w:r>
            <w:proofErr w:type="spellEnd"/>
          </w:p>
        </w:tc>
      </w:tr>
      <w:tr w:rsidR="003D2ED2" w:rsidTr="003D2ED2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3D2ED2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3D2ED2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कुल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3D2ED2" w:rsidRDefault="003D2ED2" w:rsidP="00FE1418">
      <w:pPr>
        <w:spacing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FE1418" w:rsidRDefault="00FE1418" w:rsidP="00FE1418">
      <w:pPr>
        <w:spacing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735F91" w:rsidRDefault="00735F91" w:rsidP="00FE1418">
      <w:pPr>
        <w:spacing w:line="240" w:lineRule="auto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</w:p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अनुलग्नक-2</w:t>
      </w:r>
    </w:p>
    <w:p w:rsidR="003D2ED2" w:rsidRDefault="00110AC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डिस्क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ॉ</w:t>
      </w:r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>मों</w:t>
      </w:r>
      <w:proofErr w:type="spellEnd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>को</w:t>
      </w:r>
      <w:proofErr w:type="spellEnd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>लागू</w:t>
      </w:r>
      <w:proofErr w:type="spellEnd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>अतिरिक्त</w:t>
      </w:r>
      <w:proofErr w:type="spellEnd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>शर्तों</w:t>
      </w:r>
      <w:proofErr w:type="spellEnd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>की</w:t>
      </w:r>
      <w:proofErr w:type="spellEnd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>अनुपालन</w:t>
      </w:r>
      <w:proofErr w:type="spellEnd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proofErr w:type="spellStart"/>
      <w:r w:rsidR="003D2ED2">
        <w:rPr>
          <w:rFonts w:ascii="Arial Unicode MS" w:eastAsia="Arial Unicode MS" w:hAnsi="Arial Unicode MS" w:cs="Arial Unicode MS" w:hint="eastAsia"/>
          <w:b/>
          <w:sz w:val="28"/>
          <w:szCs w:val="28"/>
        </w:rPr>
        <w:t>स्थिति</w:t>
      </w:r>
      <w:proofErr w:type="spellEnd"/>
    </w:p>
    <w:tbl>
      <w:tblPr>
        <w:tblStyle w:val="TableGrid"/>
        <w:tblW w:w="0" w:type="auto"/>
        <w:tblInd w:w="0" w:type="dxa"/>
        <w:tblLook w:val="04A0"/>
      </w:tblPr>
      <w:tblGrid>
        <w:gridCol w:w="740"/>
        <w:gridCol w:w="5938"/>
        <w:gridCol w:w="2790"/>
      </w:tblGrid>
      <w:tr w:rsidR="003D2ED2" w:rsidTr="00885F79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क्र.सं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.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शर्तें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अनुपालन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स्थिति</w:t>
            </w:r>
            <w:proofErr w:type="spellEnd"/>
          </w:p>
        </w:tc>
      </w:tr>
      <w:tr w:rsidR="003D2ED2" w:rsidTr="00885F79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1.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ईंधन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अधिशुल्क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स्वचलित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पिछली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तिमाही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तुरंत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पूर्ववर्ती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तिमाही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ईंधन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लागत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समायोजन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बराबर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राशि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हेतु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राज्य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सरकार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अनुदान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भुगतान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करेगी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।</w:t>
            </w:r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885F79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2.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पिछली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तिमाही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तुरंत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पूर्ववर्ती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तिमाही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सरकारी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विभागों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द्वारा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हुई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विद्युत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खपत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B829B9">
              <w:rPr>
                <w:rFonts w:ascii="Arial Unicode MS" w:eastAsia="Arial Unicode MS" w:hAnsi="Arial Unicode MS" w:cs="Arial Unicode MS"/>
                <w:sz w:val="28"/>
                <w:szCs w:val="28"/>
              </w:rPr>
              <w:t>बकाया</w:t>
            </w:r>
            <w:proofErr w:type="spellEnd"/>
            <w:r w:rsidR="00B829B9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spellStart"/>
            <w:r w:rsidR="00B829B9">
              <w:rPr>
                <w:rFonts w:ascii="Arial Unicode MS" w:eastAsia="Arial Unicode MS" w:hAnsi="Arial Unicode MS" w:cs="Arial Unicode MS"/>
                <w:sz w:val="28"/>
                <w:szCs w:val="28"/>
              </w:rPr>
              <w:t>राशि</w:t>
            </w:r>
            <w:proofErr w:type="spellEnd"/>
            <w:r w:rsidR="00B829B9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spellStart"/>
            <w:r w:rsidR="00B829B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क्ली</w:t>
            </w:r>
            <w:r w:rsidR="00B829B9">
              <w:rPr>
                <w:rFonts w:ascii="Arial Unicode MS" w:eastAsia="Arial Unicode MS" w:hAnsi="Arial Unicode MS" w:cs="Arial Unicode MS"/>
                <w:sz w:val="28"/>
                <w:szCs w:val="28"/>
              </w:rPr>
              <w:t>य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रेंस</w:t>
            </w:r>
            <w:proofErr w:type="spellEnd"/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885F79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3.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तिमाहियों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ब्रेक-अप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साथ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मार्च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2013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अनुदान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शेष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पूर्ण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कराने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योजना</w:t>
            </w:r>
            <w:proofErr w:type="spellEnd"/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885F79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4.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टैरिफ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935B4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ऑ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र्डर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कोई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राजस्व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अंतर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नहीं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होना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चाहिए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और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नियामक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परिसंपत्तियां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F44CC0">
              <w:rPr>
                <w:rFonts w:ascii="Arial Unicode MS" w:eastAsia="Arial Unicode MS" w:hAnsi="Arial Unicode MS" w:cs="Arial Unicode MS"/>
                <w:sz w:val="28"/>
                <w:szCs w:val="28"/>
              </w:rPr>
              <w:t>नियमित</w:t>
            </w:r>
            <w:proofErr w:type="spellEnd"/>
            <w:r w:rsidR="00F44CC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spellStart"/>
            <w:r w:rsidR="00F44CC0">
              <w:rPr>
                <w:rFonts w:ascii="Arial Unicode MS" w:eastAsia="Arial Unicode MS" w:hAnsi="Arial Unicode MS" w:cs="Arial Unicode MS"/>
                <w:sz w:val="28"/>
                <w:szCs w:val="28"/>
              </w:rPr>
              <w:t>प्रक्रिया</w:t>
            </w:r>
            <w:proofErr w:type="spellEnd"/>
            <w:r w:rsidR="00F44CC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spellStart"/>
            <w:r w:rsidR="00F44CC0">
              <w:rPr>
                <w:rFonts w:ascii="Arial Unicode MS" w:eastAsia="Arial Unicode MS" w:hAnsi="Arial Unicode MS" w:cs="Arial Unicode MS"/>
                <w:sz w:val="28"/>
                <w:szCs w:val="28"/>
              </w:rPr>
              <w:t>के</w:t>
            </w:r>
            <w:proofErr w:type="spellEnd"/>
            <w:r w:rsidR="00F44CC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spellStart"/>
            <w:r w:rsidR="00F44CC0">
              <w:rPr>
                <w:rFonts w:ascii="Arial Unicode MS" w:eastAsia="Arial Unicode MS" w:hAnsi="Arial Unicode MS" w:cs="Arial Unicode MS"/>
                <w:sz w:val="28"/>
                <w:szCs w:val="28"/>
              </w:rPr>
              <w:t>रूप</w:t>
            </w:r>
            <w:proofErr w:type="spellEnd"/>
            <w:r w:rsidR="00F44CC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spellStart"/>
            <w:r w:rsidR="00226502">
              <w:rPr>
                <w:rFonts w:ascii="Arial Unicode MS" w:eastAsia="Arial Unicode MS" w:hAnsi="Arial Unicode MS" w:cs="Arial Unicode MS"/>
                <w:sz w:val="28"/>
                <w:szCs w:val="28"/>
              </w:rPr>
              <w:t>में</w:t>
            </w:r>
            <w:proofErr w:type="spellEnd"/>
            <w:r w:rsidR="0022650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proofErr w:type="spellStart"/>
            <w:r w:rsidR="00226502">
              <w:rPr>
                <w:rFonts w:ascii="Arial Unicode MS" w:eastAsia="Arial Unicode MS" w:hAnsi="Arial Unicode MS" w:cs="Arial Unicode MS"/>
                <w:sz w:val="28"/>
                <w:szCs w:val="28"/>
              </w:rPr>
              <w:t>सृजित</w:t>
            </w:r>
            <w:proofErr w:type="spellEnd"/>
            <w:r w:rsidR="0022650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नहीं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E8524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 w:rsidR="00E8524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E85242">
              <w:rPr>
                <w:rFonts w:ascii="Arial Unicode MS" w:eastAsia="Arial Unicode MS" w:hAnsi="Arial Unicode MS" w:cs="Arial Unicode MS"/>
                <w:sz w:val="28"/>
                <w:szCs w:val="28"/>
              </w:rPr>
              <w:t>जाएं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गी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जब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तर्कसंगत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और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टैरिफ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नीति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और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नियमों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अनुसार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नहीं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होती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विशिष्ट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परिस्थितियों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जब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नियामक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परिसंपत्तियां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निर्मित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होती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हैं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नियामक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परिसंपत्तियों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निर्माण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एक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भीतर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वसूली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शुरू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जानी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चाहिए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और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भीतर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पूर्ण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रूप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वसूली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जानी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चाहिए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और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रखाव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लागत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प्रदान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करना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होगा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।</w:t>
            </w:r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885F79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संचयी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हानि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दूर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करने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12वीं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योजना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अंत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तक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वर्ष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भीतर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उत्पन्न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होने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वाली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बचत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नकदी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साथ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योजना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390675">
              <w:rPr>
                <w:rFonts w:ascii="Arial Unicode MS" w:eastAsia="Arial Unicode MS" w:hAnsi="Arial Unicode MS" w:cs="Arial Unicode MS"/>
                <w:sz w:val="28"/>
                <w:szCs w:val="28"/>
              </w:rPr>
              <w:t>देना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।</w:t>
            </w:r>
          </w:p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885F79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6.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संबंधी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एसईआर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द्वारा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आदर्श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टैरिफ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नियमों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अपनाना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।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885F79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7.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राज्य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सरकार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 w:rsidR="009248C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डिस्क</w:t>
            </w:r>
            <w:r w:rsidR="009248CD">
              <w:rPr>
                <w:rFonts w:ascii="Arial Unicode MS" w:eastAsia="Arial Unicode MS" w:hAnsi="Arial Unicode MS" w:cs="Arial Unicode MS"/>
                <w:sz w:val="28"/>
                <w:szCs w:val="28"/>
              </w:rPr>
              <w:t>ॉ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अपने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ऋणों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इक्विटी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इक्विवटी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इंफयूजन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और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विद्युत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संस्थाओं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निवल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संपत्ति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सुधार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बदलें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- 6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माह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भीतर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योजना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प्रदान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करें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।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D2ED2" w:rsidTr="00885F79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8.</w:t>
            </w:r>
          </w:p>
        </w:tc>
        <w:tc>
          <w:tcPr>
            <w:tcW w:w="5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राज्य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प्रतिभूतिरहित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उत्पन्न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क्षमता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="00160BD5">
              <w:rPr>
                <w:rFonts w:ascii="Arial Unicode MS" w:eastAsia="Arial Unicode MS" w:hAnsi="Arial Unicode MS" w:cs="Arial Unicode MS"/>
                <w:sz w:val="28"/>
                <w:szCs w:val="28"/>
              </w:rPr>
              <w:t>अंतराल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तुलना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उनके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राज्यों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में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12वीं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योजना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आवश्यकता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पूरा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करने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के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लिए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तुरंत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बोली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का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आमंत्रण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दें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।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D2" w:rsidRDefault="003D2ED2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3D2ED2" w:rsidRDefault="003D2ED2" w:rsidP="003D2ED2">
      <w:pPr>
        <w:spacing w:line="240" w:lineRule="auto"/>
        <w:jc w:val="both"/>
        <w:rPr>
          <w:rFonts w:ascii="Arial Unicode MS" w:eastAsia="Arial Unicode MS" w:hAnsi="Arial Unicode MS" w:cs="Arial Unicode MS" w:hint="eastAsia"/>
          <w:sz w:val="28"/>
          <w:szCs w:val="28"/>
        </w:rPr>
      </w:pPr>
    </w:p>
    <w:p w:rsidR="003D2ED2" w:rsidRDefault="003D2ED2" w:rsidP="003D2ED2">
      <w:pPr>
        <w:spacing w:line="240" w:lineRule="auto"/>
        <w:jc w:val="center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</w:p>
    <w:p w:rsidR="00AE681C" w:rsidRDefault="00AE681C"/>
    <w:sectPr w:rsidR="00AE681C" w:rsidSect="00AE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E1"/>
    <w:multiLevelType w:val="hybridMultilevel"/>
    <w:tmpl w:val="5A12F752"/>
    <w:lvl w:ilvl="0" w:tplc="B67E9D48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26ACF"/>
    <w:multiLevelType w:val="hybridMultilevel"/>
    <w:tmpl w:val="A272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D2ED2"/>
    <w:rsid w:val="0002053E"/>
    <w:rsid w:val="00110AC2"/>
    <w:rsid w:val="00160BD5"/>
    <w:rsid w:val="00226502"/>
    <w:rsid w:val="00390675"/>
    <w:rsid w:val="003D2ED2"/>
    <w:rsid w:val="004D6A9B"/>
    <w:rsid w:val="005A75CB"/>
    <w:rsid w:val="005D00DE"/>
    <w:rsid w:val="00735F91"/>
    <w:rsid w:val="00885F79"/>
    <w:rsid w:val="009248CD"/>
    <w:rsid w:val="00935B4E"/>
    <w:rsid w:val="00AE681C"/>
    <w:rsid w:val="00B829B9"/>
    <w:rsid w:val="00E85242"/>
    <w:rsid w:val="00F44CC0"/>
    <w:rsid w:val="00FE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D2"/>
    <w:pPr>
      <w:ind w:left="720"/>
      <w:contextualSpacing/>
    </w:pPr>
  </w:style>
  <w:style w:type="table" w:styleId="TableGrid">
    <w:name w:val="Table Grid"/>
    <w:basedOn w:val="TableNormal"/>
    <w:uiPriority w:val="59"/>
    <w:rsid w:val="003D2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FF0A-4CDC-401C-9099-18C6C9CE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aone</dc:creator>
  <cp:lastModifiedBy>aone</cp:lastModifiedBy>
  <cp:revision>60</cp:revision>
  <dcterms:created xsi:type="dcterms:W3CDTF">2013-05-29T04:58:00Z</dcterms:created>
  <dcterms:modified xsi:type="dcterms:W3CDTF">2013-05-29T05:37:00Z</dcterms:modified>
</cp:coreProperties>
</file>